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wordWrap w:val="0"/>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様式第５－（ロ）－①　＜原油高要件＞（指定業種に属する事業のみを営んでいる場合）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0148"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40" w:lineRule="exact"/>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spacing w:line="240" w:lineRule="exact"/>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spacing w:line="240" w:lineRule="exact"/>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spacing w:line="240" w:lineRule="exact"/>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spacing w:line="240" w:lineRule="exact"/>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240" w:lineRule="exact"/>
              <w:ind w:right="-151" w:rightChars="-72"/>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※表には営んでいる事業が属する業種（日本標準産業分類の細分類番号と細分類業種名）を全て記載（</w:t>
            </w:r>
            <w:r>
              <w:rPr>
                <w:rFonts w:hint="eastAsia" w:asciiTheme="majorEastAsia" w:hAnsiTheme="majorEastAsia" w:eastAsiaTheme="majorEastAsia"/>
                <w:color w:val="000000"/>
                <w:spacing w:val="-10"/>
                <w:kern w:val="0"/>
                <w:sz w:val="20"/>
                <w:u w:val="single" w:color="auto"/>
              </w:rPr>
              <w:t>当該業種は全て指定業種であることが必要</w:t>
            </w:r>
            <w:r>
              <w:rPr>
                <w:rFonts w:hint="eastAsia" w:asciiTheme="majorEastAsia" w:hAnsiTheme="majorEastAsia" w:eastAsiaTheme="majorEastAsia"/>
                <w:color w:val="000000"/>
                <w:spacing w:val="-10"/>
                <w:kern w:val="0"/>
                <w:sz w:val="20"/>
              </w:rPr>
              <w:t>）。当該業種が複数ある場合には、その中で、最近１年間で最も売上高等が大きい事業が属する業種を左上の太枠に記載。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after="191"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5" behindDoc="0" locked="0" layoutInCell="1" hidden="0" allowOverlap="1">
                      <wp:simplePos x="0" y="0"/>
                      <wp:positionH relativeFrom="column">
                        <wp:posOffset>3907790</wp:posOffset>
                      </wp:positionH>
                      <wp:positionV relativeFrom="paragraph">
                        <wp:posOffset>40005</wp:posOffset>
                      </wp:positionV>
                      <wp:extent cx="339090" cy="192214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22145"/>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26.7pt;height:151.35pt;mso-position-horizontal-relative:text;position:absolute;margin-left:307.7pt;margin-top:3.15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①</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原油等の仕入単価の上昇</w:t>
            </w:r>
          </w:p>
          <w:p>
            <w:pPr>
              <w:pStyle w:val="0"/>
              <w:suppressAutoHyphens w:val="1"/>
              <w:kinsoku w:val="0"/>
              <w:overflowPunct w:val="0"/>
              <w:autoSpaceDE w:val="0"/>
              <w:autoSpaceDN w:val="0"/>
              <w:adjustRightInd w:val="0"/>
              <w:spacing w:line="240" w:lineRule="exact"/>
              <w:ind w:firstLine="945" w:firstLineChars="45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986790</wp:posOffset>
                      </wp:positionH>
                      <wp:positionV relativeFrom="paragraph">
                        <wp:posOffset>22860</wp:posOffset>
                      </wp:positionV>
                      <wp:extent cx="123380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23380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7.15pt;height:18.25pt;mso-position-horizontal-relative:text;position:absolute;margin-left:77.7pt;margin-top:1.8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Ｅ</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上昇率　　　　　（≧２０）％</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ｅ</w:t>
            </w:r>
          </w:p>
          <w:p>
            <w:pPr>
              <w:pStyle w:val="0"/>
              <w:suppressAutoHyphens w:val="1"/>
              <w:kinsoku w:val="0"/>
              <w:overflowPunct w:val="0"/>
              <w:autoSpaceDE w:val="0"/>
              <w:autoSpaceDN w:val="0"/>
              <w:adjustRightInd w:val="0"/>
              <w:spacing w:line="240" w:lineRule="exact"/>
              <w:ind w:right="-151" w:rightChars="-72" w:firstLine="210" w:firstLineChars="1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Ｅ：原油等の最近１か月間における平均仕入単価　　　　（令和　　年　　月）</w:t>
            </w:r>
            <w:r>
              <w:rPr>
                <w:rFonts w:hint="eastAsia" w:asciiTheme="majorEastAsia" w:hAnsiTheme="majorEastAsia" w:eastAsiaTheme="majorEastAsia"/>
                <w:color w:val="000000"/>
                <w:kern w:val="0"/>
                <w:u w:val="single" w:color="auto"/>
              </w:rPr>
              <w:t>　　　　　</w:t>
            </w:r>
            <w:r>
              <w:rPr>
                <w:rFonts w:hint="eastAsia" w:asciiTheme="majorEastAsia" w:hAnsiTheme="majorEastAsia" w:eastAsiaTheme="majorEastAsia"/>
                <w:color w:val="000000"/>
                <w:kern w:val="0"/>
                <w:u w:val="single" w:color="000000"/>
              </w:rPr>
              <w:t>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right="-151" w:rightChars="-72" w:firstLine="210" w:firstLineChars="1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ｅ：Ｅの期間に対応する前年の１か月間の平均仕入単価　（令和　　年　　月）</w:t>
            </w:r>
            <w:r>
              <w:rPr>
                <w:rFonts w:hint="eastAsia" w:asciiTheme="majorEastAsia" w:hAnsiTheme="majorEastAsia" w:eastAsiaTheme="majorEastAsia"/>
                <w:color w:val="000000"/>
                <w:kern w:val="0"/>
                <w:u w:val="single" w:color="000000"/>
              </w:rPr>
              <w:t>　　　　　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②</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原油等が売上原価に占める割合</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986155</wp:posOffset>
                      </wp:positionH>
                      <wp:positionV relativeFrom="paragraph">
                        <wp:posOffset>23495</wp:posOffset>
                      </wp:positionV>
                      <wp:extent cx="603885" cy="23177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7.55pt;height:18.25pt;mso-position-horizontal-relative:text;position:absolute;margin-left:77.650000000000006pt;margin-top:1.85pt;mso-wrap-distance-bottom:3.6pt;mso-wrap-distance-right:9pt;mso-wrap-distance-top:3.6pt;v-text-anchor:middle;" o:spid="_x0000_s1028"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Ｓ</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依存率　　　　　（≧２０）％</w:t>
            </w:r>
          </w:p>
          <w:p>
            <w:pPr>
              <w:pStyle w:val="0"/>
              <w:suppressAutoHyphens w:val="1"/>
              <w:kinsoku w:val="0"/>
              <w:overflowPunct w:val="0"/>
              <w:autoSpaceDE w:val="0"/>
              <w:autoSpaceDN w:val="0"/>
              <w:adjustRightInd w:val="0"/>
              <w:spacing w:line="240" w:lineRule="exact"/>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Ｃ</w:t>
            </w:r>
            <w:r>
              <w:rPr>
                <w:rFonts w:hint="default" w:asciiTheme="majorEastAsia" w:hAnsiTheme="majorEastAsia" w:eastAsiaTheme="majorEastAsia"/>
                <w:color w:val="000000"/>
                <w:kern w:val="0"/>
              </w:rPr>
              <w:t xml:space="preserve"> </w:t>
            </w:r>
          </w:p>
          <w:p>
            <w:pPr>
              <w:pStyle w:val="0"/>
              <w:suppressAutoHyphens w:val="1"/>
              <w:kinsoku w:val="0"/>
              <w:overflowPunct w:val="0"/>
              <w:autoSpaceDE w:val="0"/>
              <w:autoSpaceDN w:val="0"/>
              <w:adjustRightInd w:val="0"/>
              <w:spacing w:line="240" w:lineRule="exact"/>
              <w:ind w:right="-149" w:rightChars="-71" w:firstLine="210" w:firstLineChars="1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Ｃ：最近１か月の売上原価　　　　　　　　　　　　　　（令和　　年　　月）</w:t>
            </w:r>
            <w:r>
              <w:rPr>
                <w:rFonts w:hint="eastAsia" w:asciiTheme="majorEastAsia" w:hAnsiTheme="majorEastAsia" w:eastAsiaTheme="majorEastAsia"/>
                <w:color w:val="000000"/>
                <w:kern w:val="0"/>
                <w:u w:val="single" w:color="auto"/>
              </w:rPr>
              <w:t>　　　　　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right="-151" w:rightChars="-72" w:firstLine="210" w:firstLineChars="1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Ｓ：Ｃの売上原価に対応する原油等の仕入額　　　　　　（令和　　年　　月）</w:t>
            </w:r>
            <w:r>
              <w:rPr>
                <w:rFonts w:hint="eastAsia" w:asciiTheme="majorEastAsia" w:hAnsiTheme="majorEastAsia" w:eastAsiaTheme="majorEastAsia"/>
                <w:color w:val="000000"/>
                <w:kern w:val="0"/>
                <w:u w:val="single" w:color="auto"/>
              </w:rPr>
              <w:t>　　　　　</w:t>
            </w:r>
            <w:r>
              <w:rPr>
                <w:rFonts w:hint="eastAsia" w:asciiTheme="majorEastAsia" w:hAnsiTheme="majorEastAsia" w:eastAsiaTheme="majorEastAsia"/>
                <w:color w:val="000000"/>
                <w:kern w:val="0"/>
                <w:u w:val="single" w:color="000000"/>
              </w:rPr>
              <w:t>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firstLine="105" w:firstLineChars="5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③</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製品等価格への転嫁の状況</w:t>
            </w:r>
          </w:p>
          <w:p>
            <w:pPr>
              <w:pStyle w:val="0"/>
              <w:suppressAutoHyphens w:val="1"/>
              <w:kinsoku w:val="0"/>
              <w:overflowPunct w:val="0"/>
              <w:autoSpaceDE w:val="0"/>
              <w:autoSpaceDN w:val="0"/>
              <w:adjustRightInd w:val="0"/>
              <w:spacing w:line="240" w:lineRule="exact"/>
              <w:ind w:firstLine="840" w:firstLineChars="400"/>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rPr>
              <mc:AlternateContent>
                <mc:Choice Requires="wps">
                  <w:drawing>
                    <wp:anchor distT="45720" distB="45720" distL="114300" distR="114300" simplePos="0" relativeHeight="4" behindDoc="0" locked="0" layoutInCell="1" hidden="0" allowOverlap="1">
                      <wp:simplePos x="0" y="0"/>
                      <wp:positionH relativeFrom="column">
                        <wp:posOffset>1752600</wp:posOffset>
                      </wp:positionH>
                      <wp:positionV relativeFrom="paragraph">
                        <wp:posOffset>18415</wp:posOffset>
                      </wp:positionV>
                      <wp:extent cx="603885" cy="23177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7.55pt;height:18.25pt;mso-position-horizontal-relative:text;position:absolute;margin-left:138pt;margin-top:1.45pt;mso-wrap-distance-bottom:3.6pt;mso-wrap-distance-right:9pt;mso-wrap-distance-top:3.6pt;v-text-anchor:middle;" o:spid="_x0000_s1029"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＝Ｐ</w:t>
                            </w:r>
                          </w:p>
                        </w:txbxContent>
                      </v:textbox>
                      <v:imagedata o:title=""/>
                      <w10:wrap type="none" anchorx="text" anchory="text"/>
                    </v:shape>
                  </w:pict>
                </mc:Fallback>
              </mc:AlternateContent>
            </w:r>
            <w:r>
              <w:rPr>
                <w:rFonts w:hint="default" w:asciiTheme="majorEastAsia" w:hAnsiTheme="majorEastAsia" w:eastAsiaTheme="majorEastAsia"/>
                <w:color w:val="000000"/>
                <w:kern w:val="0"/>
              </w:rPr>
              <w:t xml:space="preserve">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Ａ</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ａ</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Ｐ＝　　　　　　（＞０）</w:t>
            </w:r>
          </w:p>
          <w:p>
            <w:pPr>
              <w:pStyle w:val="0"/>
              <w:suppressAutoHyphens w:val="1"/>
              <w:kinsoku w:val="0"/>
              <w:overflowPunct w:val="0"/>
              <w:autoSpaceDE w:val="0"/>
              <w:autoSpaceDN w:val="0"/>
              <w:adjustRightInd w:val="0"/>
              <w:spacing w:line="240" w:lineRule="exac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w: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Ｂ　　</w:t>
            </w:r>
            <w:r>
              <w:rPr>
                <w:rFonts w:hint="default" w:asciiTheme="majorEastAsia" w:hAnsiTheme="majorEastAsia" w:eastAsiaTheme="majorEastAsia"/>
                <w:color w:val="000000"/>
                <w:kern w:val="0"/>
              </w:rPr>
              <w:t xml:space="preserve">    </w:t>
            </w:r>
            <w:r>
              <w:rPr>
                <w:rFonts w:hint="eastAsia" w:asciiTheme="majorEastAsia" w:hAnsiTheme="majorEastAsia" w:eastAsiaTheme="majorEastAsia"/>
                <w:color w:val="000000"/>
                <w:kern w:val="0"/>
              </w:rPr>
              <w:t>ｂ</w:t>
            </w:r>
          </w:p>
          <w:p>
            <w:pPr>
              <w:pStyle w:val="0"/>
              <w:suppressAutoHyphens w:val="1"/>
              <w:kinsoku w:val="0"/>
              <w:overflowPunct w:val="0"/>
              <w:autoSpaceDE w:val="0"/>
              <w:autoSpaceDN w:val="0"/>
              <w:adjustRightInd w:val="0"/>
              <w:spacing w:line="240" w:lineRule="exact"/>
              <w:ind w:right="-151" w:rightChars="-72" w:firstLine="210" w:firstLineChars="1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Ａ：最近３か月間の原油等の仕入額（令和　　年　　月～令和　　年　　月）</w:t>
            </w:r>
            <w:r>
              <w:rPr>
                <w:rFonts w:hint="eastAsia" w:asciiTheme="majorEastAsia" w:hAnsiTheme="majorEastAsia" w:eastAsiaTheme="majorEastAsia"/>
                <w:color w:val="000000"/>
                <w:kern w:val="0"/>
                <w:u w:val="single" w:color="000000"/>
              </w:rPr>
              <w:t>　　　　　　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ａ：Ａの期間に対応する前年の３か月間の原油等の仕入額</w:t>
            </w:r>
          </w:p>
          <w:p>
            <w:pPr>
              <w:pStyle w:val="0"/>
              <w:suppressAutoHyphens w:val="1"/>
              <w:kinsoku w:val="0"/>
              <w:overflowPunct w:val="0"/>
              <w:autoSpaceDE w:val="0"/>
              <w:autoSpaceDN w:val="0"/>
              <w:adjustRightInd w:val="0"/>
              <w:spacing w:line="240" w:lineRule="exact"/>
              <w:ind w:right="-258" w:rightChars="-123" w:firstLine="3570" w:firstLineChars="17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（令和　　年　　月～令和　　年　　月）</w:t>
            </w:r>
            <w:r>
              <w:rPr>
                <w:rFonts w:hint="eastAsia" w:asciiTheme="majorEastAsia" w:hAnsiTheme="majorEastAsia" w:eastAsiaTheme="majorEastAsia"/>
                <w:color w:val="000000"/>
                <w:kern w:val="0"/>
                <w:u w:val="single" w:color="000000"/>
              </w:rPr>
              <w:t>　　　　　　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right="-258" w:rightChars="-123" w:firstLine="210" w:firstLineChars="100"/>
              <w:jc w:val="left"/>
              <w:textAlignment w:val="baseline"/>
              <w:rPr>
                <w:rFonts w:hint="default" w:asciiTheme="majorEastAsia" w:hAnsiTheme="majorEastAsia" w:eastAsiaTheme="majorEastAsia"/>
                <w:color w:val="000000"/>
                <w:kern w:val="0"/>
                <w:u w:val="single" w:color="000000"/>
              </w:rPr>
            </w:pPr>
            <w:r>
              <w:rPr>
                <w:rFonts w:hint="eastAsia" w:asciiTheme="majorEastAsia" w:hAnsiTheme="majorEastAsia" w:eastAsiaTheme="majorEastAsia"/>
                <w:color w:val="000000"/>
                <w:kern w:val="0"/>
              </w:rPr>
              <w:t>Ｂ：最近３か月間の売上高　　　　（令和　　年　　月～令和　　年　　月）</w:t>
            </w:r>
            <w:r>
              <w:rPr>
                <w:rFonts w:hint="eastAsia" w:asciiTheme="majorEastAsia" w:hAnsiTheme="majorEastAsia" w:eastAsiaTheme="majorEastAsia"/>
                <w:color w:val="000000"/>
                <w:kern w:val="0"/>
                <w:u w:val="single" w:color="000000"/>
              </w:rPr>
              <w:t>　　　　　　円</w:t>
            </w:r>
            <w:r>
              <w:rPr>
                <w:rFonts w:hint="eastAsia" w:asciiTheme="majorEastAsia" w:hAnsiTheme="majorEastAsia" w:eastAsiaTheme="majorEastAsia"/>
                <w:color w:val="000000"/>
                <w:kern w:val="0"/>
              </w:rPr>
              <w:t>（注）</w:t>
            </w:r>
          </w:p>
          <w:p>
            <w:pPr>
              <w:pStyle w:val="0"/>
              <w:suppressAutoHyphens w:val="1"/>
              <w:kinsoku w:val="0"/>
              <w:overflowPunct w:val="0"/>
              <w:autoSpaceDE w:val="0"/>
              <w:autoSpaceDN w:val="0"/>
              <w:adjustRightInd w:val="0"/>
              <w:spacing w:line="240" w:lineRule="exact"/>
              <w:ind w:right="-258" w:rightChars="-123" w:firstLine="210" w:firstLineChars="1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ｂ：Ｂの期間に対応する前年の３か月間の売上高</w:t>
            </w:r>
          </w:p>
          <w:p>
            <w:pPr>
              <w:pStyle w:val="0"/>
              <w:suppressAutoHyphens w:val="1"/>
              <w:kinsoku w:val="0"/>
              <w:overflowPunct w:val="0"/>
              <w:autoSpaceDE w:val="0"/>
              <w:autoSpaceDN w:val="0"/>
              <w:adjustRightInd w:val="0"/>
              <w:spacing w:line="240" w:lineRule="exact"/>
              <w:ind w:right="-258" w:rightChars="-123" w:firstLine="3570" w:firstLineChars="17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（令和　　年　　月～令和　　年　　月）</w:t>
            </w:r>
            <w:r>
              <w:rPr>
                <w:rFonts w:hint="eastAsia" w:asciiTheme="majorEastAsia" w:hAnsiTheme="majorEastAsia" w:eastAsiaTheme="majorEastAsia"/>
                <w:color w:val="000000"/>
                <w:kern w:val="0"/>
                <w:u w:val="single" w:color="000000"/>
              </w:rPr>
              <w:t>　　　　　　円</w:t>
            </w:r>
            <w:r>
              <w:rPr>
                <w:rFonts w:hint="eastAsia" w:asciiTheme="majorEastAsia" w:hAnsiTheme="majorEastAsia" w:eastAsiaTheme="majorEastAsia"/>
                <w:color w:val="000000"/>
                <w:kern w:val="0"/>
              </w:rPr>
              <w:t>（注）</w:t>
            </w:r>
          </w:p>
        </w:tc>
      </w:tr>
      <w:tr>
        <w:trPr>
          <w:trHeight w:val="2064" w:hRule="atLeast"/>
        </w:trPr>
        <w:tc>
          <w:tcPr>
            <w:tcW w:w="9639" w:type="dxa"/>
            <w:shd w:val="clear" w:color="auto" w:fill="auto"/>
            <w:vAlign w:val="top"/>
          </w:tcPr>
          <w:p>
            <w:pPr>
              <w:pStyle w:val="0"/>
              <w:spacing w:before="191"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91" w:beforeLines="50" w:beforeAutospacing="0" w:after="191"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spacing w:line="230" w:lineRule="exact"/>
        <w:ind w:left="738" w:hanging="738"/>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（注）単価や金額は、申請者全体の値を記載します。</w:t>
      </w:r>
    </w:p>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suppressAutoHyphens w:val="1"/>
        <w:wordWrap w:val="0"/>
        <w:spacing w:line="240" w:lineRule="exact"/>
        <w:ind w:left="400" w:leftChars="100" w:hanging="190" w:hangingChars="100"/>
        <w:jc w:val="left"/>
        <w:textAlignment w:val="baseline"/>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1134" w:left="1134" w:header="851" w:footer="737" w:gutter="0"/>
      <w:cols w:space="720"/>
      <w:textDirection w:val="lrTb"/>
      <w:docGrid w:type="lines" w:linePitch="392"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881</Characters>
  <Application>JUST Note</Application>
  <Lines>64</Lines>
  <Paragraphs>41</Paragraphs>
  <Company>METI</Company>
  <CharactersWithSpaces>1305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2024-12-23T01:45:00Z</dcterms:created>
  <dcterms:modified xsi:type="dcterms:W3CDTF">2025-09-09T05:41:34Z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