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5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48"/>
        <w:gridCol w:w="3067"/>
        <w:gridCol w:w="3067"/>
        <w:gridCol w:w="3068"/>
      </w:tblGrid>
      <w:tr>
        <w:trPr>
          <w:trHeight w:val="238" w:hRule="atLeast"/>
        </w:trPr>
        <w:tc>
          <w:tcPr>
            <w:tcW w:w="448" w:type="dxa"/>
            <w:vMerge w:val="restart"/>
            <w:tcBorders>
              <w:top w:val="single" w:color="auto" w:sz="4" w:space="0"/>
              <w:left w:val="single" w:color="auto" w:sz="4" w:space="0"/>
              <w:bottom w:val="none" w:color="auto" w:sz="0" w:space="0"/>
              <w:right w:val="single" w:color="auto" w:sz="2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r>
              <w:rPr>
                <w:rFonts w:hint="eastAsia" w:asciiTheme="majorEastAsia" w:hAnsiTheme="majorEastAsia" w:eastAsiaTheme="majorEastAsia"/>
                <w:kern w:val="0"/>
                <w:sz w:val="16"/>
                <w:fitText w:val="640" w:id="1"/>
              </w:rPr>
              <w:t>認定権者</w:t>
            </w:r>
            <w:r>
              <w:rPr>
                <w:rFonts w:hint="eastAsia" w:asciiTheme="majorEastAsia" w:hAnsiTheme="majorEastAsia" w:eastAsiaTheme="majorEastAsia"/>
                <w:sz w:val="16"/>
              </w:rPr>
              <w:t>記入欄</w:t>
            </w:r>
          </w:p>
        </w:tc>
        <w:tc>
          <w:tcPr>
            <w:tcW w:w="306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r>
        <w:trPr>
          <w:trHeight w:val="273" w:hRule="atLeast"/>
        </w:trPr>
        <w:tc>
          <w:tcPr>
            <w:tcW w:w="4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p>
        </w:tc>
        <w:tc>
          <w:tcPr>
            <w:tcW w:w="3067" w:type="dxa"/>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bl>
    <w:p>
      <w:pPr>
        <w:pStyle w:val="0"/>
        <w:suppressAutoHyphens w:val="1"/>
        <w:wordWrap w:val="0"/>
        <w:spacing w:line="30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様式第５－（ロ）－②　＜原油高要件＞（指定業種と非指定業種を営んでいる場合）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center"/>
              <w:rPr>
                <w:rFonts w:hint="default" w:asciiTheme="majorEastAsia" w:hAnsiTheme="majorEastAsia" w:eastAsiaTheme="majorEastAsia"/>
              </w:rPr>
            </w:pPr>
            <w:r>
              <w:rPr>
                <w:rFonts w:hint="eastAsia" w:asciiTheme="majorEastAsia" w:hAnsiTheme="majorEastAsia" w:eastAsiaTheme="majorEastAsia"/>
                <w:color w:val="000000"/>
                <w:kern w:val="0"/>
              </w:rPr>
              <w:t>中小企業信用保険法第２条第５項第５号の規定による認定申請書</w:t>
            </w:r>
          </w:p>
          <w:p>
            <w:pPr>
              <w:pStyle w:val="0"/>
              <w:ind w:firstLine="5939" w:firstLineChars="2828"/>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中種子町長　田渕川寿広　殿</w:t>
            </w:r>
          </w:p>
          <w:p>
            <w:pPr>
              <w:pStyle w:val="0"/>
              <w:spacing w:line="240" w:lineRule="exact"/>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申請者</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住　所　　　　　　　　　　　　　　　　　</w:t>
            </w:r>
          </w:p>
          <w:p>
            <w:pPr>
              <w:pStyle w:val="0"/>
              <w:spacing w:line="240" w:lineRule="exact"/>
              <w:ind w:firstLine="5040" w:firstLineChars="2400"/>
              <w:rPr>
                <w:rFonts w:hint="default" w:asciiTheme="majorEastAsia" w:hAnsiTheme="majorEastAsia" w:eastAsiaTheme="majorEastAsia"/>
                <w:vertAlign w:val="superscript"/>
              </w:rPr>
            </w:pPr>
            <w:r>
              <w:rPr>
                <w:rFonts w:hint="eastAsia" w:asciiTheme="majorEastAsia" w:hAnsiTheme="majorEastAsia" w:eastAsiaTheme="majorEastAsia"/>
                <w:vertAlign w:val="superscript"/>
              </w:rPr>
              <w:t>（名称及び代表者の氏名）</w:t>
            </w:r>
          </w:p>
          <w:p>
            <w:pPr>
              <w:pStyle w:val="0"/>
              <w:spacing w:line="240" w:lineRule="exact"/>
              <w:ind w:firstLine="5040" w:firstLineChars="24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uppressAutoHyphens w:val="1"/>
              <w:kinsoku w:val="0"/>
              <w:overflowPunct w:val="0"/>
              <w:autoSpaceDE w:val="0"/>
              <w:autoSpaceDN w:val="0"/>
              <w:adjustRightInd w:val="0"/>
              <w:spacing w:line="240" w:lineRule="exact"/>
              <w:ind w:right="487" w:rightChars="232"/>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spacing w:line="240" w:lineRule="exact"/>
              <w:jc w:val="left"/>
              <w:rPr>
                <w:rFonts w:hint="default" w:asciiTheme="majorEastAsia" w:hAnsiTheme="majorEastAsia" w:eastAsiaTheme="majorEastAsia"/>
              </w:rPr>
            </w:pPr>
            <w:r>
              <w:rPr>
                <w:rFonts w:hint="eastAsia" w:asciiTheme="majorEastAsia" w:hAnsiTheme="majorEastAsia" w:eastAsiaTheme="majorEastAsia"/>
              </w:rPr>
              <w:t>（表）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1"/>
              <w:gridCol w:w="3121"/>
              <w:gridCol w:w="3121"/>
            </w:tblGrid>
            <w:tr>
              <w:trPr>
                <w:trHeight w:val="372" w:hRule="atLeast"/>
              </w:trPr>
              <w:tc>
                <w:tcPr>
                  <w:tcW w:w="312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textAlignment w:val="baseline"/>
                    <w:rPr>
                      <w:rFonts w:hint="default" w:asciiTheme="majorEastAsia" w:hAnsiTheme="majorEastAsia" w:eastAsiaTheme="majorEastAsia"/>
                      <w:color w:val="000000"/>
                      <w:kern w:val="0"/>
                    </w:rPr>
                  </w:pPr>
                </w:p>
              </w:tc>
              <w:tc>
                <w:tcPr>
                  <w:tcW w:w="312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p>
              </w:tc>
              <w:tc>
                <w:tcPr>
                  <w:tcW w:w="3121"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p>
              </w:tc>
            </w:tr>
            <w:tr>
              <w:trPr>
                <w:trHeight w:val="388" w:hRule="atLeast"/>
              </w:trPr>
              <w:tc>
                <w:tcPr>
                  <w:tcW w:w="312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p>
              </w:tc>
              <w:tc>
                <w:tcPr>
                  <w:tcW w:w="3121"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p>
              </w:tc>
              <w:tc>
                <w:tcPr>
                  <w:tcW w:w="3121"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p>
              </w:tc>
            </w:tr>
          </w:tbl>
          <w:p>
            <w:pPr>
              <w:pStyle w:val="0"/>
              <w:suppressAutoHyphens w:val="1"/>
              <w:kinsoku w:val="0"/>
              <w:overflowPunct w:val="0"/>
              <w:autoSpaceDE w:val="0"/>
              <w:autoSpaceDN w:val="0"/>
              <w:adjustRightInd w:val="0"/>
              <w:spacing w:line="240" w:lineRule="exact"/>
              <w:ind w:right="-44" w:rightChars="-21"/>
              <w:jc w:val="left"/>
              <w:textAlignment w:val="baseline"/>
              <w:rPr>
                <w:rFonts w:hint="default" w:asciiTheme="majorEastAsia" w:hAnsiTheme="majorEastAsia" w:eastAsiaTheme="majorEastAsia"/>
                <w:color w:val="000000"/>
                <w:spacing w:val="-10"/>
                <w:kern w:val="0"/>
                <w:sz w:val="20"/>
              </w:rPr>
            </w:pPr>
            <w:r>
              <w:rPr>
                <w:rFonts w:hint="eastAsia" w:asciiTheme="majorEastAsia" w:hAnsiTheme="majorEastAsia" w:eastAsiaTheme="majorEastAsia"/>
                <w:color w:val="000000"/>
                <w:spacing w:val="-10"/>
                <w:kern w:val="0"/>
                <w:sz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5" behindDoc="0" locked="0" layoutInCell="1" hidden="0" allowOverlap="1">
                      <wp:simplePos x="0" y="0"/>
                      <wp:positionH relativeFrom="column">
                        <wp:posOffset>3907790</wp:posOffset>
                      </wp:positionH>
                      <wp:positionV relativeFrom="paragraph">
                        <wp:posOffset>67310</wp:posOffset>
                      </wp:positionV>
                      <wp:extent cx="339090" cy="1993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39090" cy="1993900"/>
                              </a:xfrm>
                              <a:prstGeom prst="rect">
                                <a:avLst/>
                              </a:prstGeom>
                              <a:noFill/>
                              <a:ln w="9525">
                                <a:noFill/>
                                <a:miter lim="800000"/>
                                <a:headEnd/>
                                <a:tailEnd/>
                              </a:ln>
                            </wps:spPr>
                            <wps:txbx>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wps:txbx>
                            <wps:bodyPr rot="0" vertOverflow="overflow" horzOverflow="overflow" wrap="square" rIns="0"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26.7pt;height:157pt;mso-position-horizontal-relative:text;position:absolute;margin-left:307.7pt;margin-top:5.3pt;mso-wrap-distance-bottom:3.6pt;mso-wrap-distance-right:9pt;mso-wrap-distance-top:3.6pt;v-text-anchor:top;" o:spid="_x0000_s1026" o:allowincell="t" o:allowoverlap="t" filled="f" stroked="f" strokeweight="0.75pt" o:spt="202" type="#_x0000_t202">
                      <v:fill/>
                      <v:stroke miterlimit="8"/>
                      <v:textbox style="layout-flow:horizontal;mso-fit-shape-to-text:t;" inset="2.5399999999999996mm,1.2699999999999998mm,0mm,1.2699999999999998mm">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v:textbox>
                      <v:imagedata o:title=""/>
                      <w10:wrap type="none" anchorx="text" anchory="text"/>
                    </v:shape>
                  </w:pict>
                </mc:Fallback>
              </mc:AlternateContent>
            </w:r>
            <w:r>
              <w:rPr>
                <w:rFonts w:hint="eastAsia" w:asciiTheme="majorEastAsia" w:hAnsiTheme="majorEastAsia" w:eastAsiaTheme="majorEastAsia"/>
                <w:color w:val="000000"/>
                <w:kern w:val="0"/>
              </w:rPr>
              <w:t>記</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１　事業開始年月日　　　　　　　　　　　　　　　　　　　　　</w:t>
            </w:r>
            <w:r>
              <w:rPr>
                <w:rFonts w:hint="eastAsia" w:asciiTheme="majorEastAsia" w:hAnsiTheme="majorEastAsia" w:eastAsiaTheme="majorEastAsia"/>
                <w:color w:val="000000"/>
                <w:kern w:val="0"/>
                <w:u w:val="single" w:color="auto"/>
              </w:rPr>
              <w:t>　　　　　年　　　月　　　日</w:t>
            </w:r>
          </w:p>
          <w:p>
            <w:pPr>
              <w:pStyle w:val="0"/>
              <w:suppressAutoHyphens w:val="1"/>
              <w:kinsoku w:val="0"/>
              <w:overflowPunct w:val="0"/>
              <w:autoSpaceDE w:val="0"/>
              <w:autoSpaceDN w:val="0"/>
              <w:adjustRightInd w:val="0"/>
              <w:spacing w:line="240" w:lineRule="exact"/>
              <w:ind w:firstLine="105" w:firstLineChars="5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①</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指定業種に係る原油等の仕入単価の上昇</w:t>
            </w:r>
          </w:p>
          <w:p>
            <w:pPr>
              <w:pStyle w:val="0"/>
              <w:suppressAutoHyphens w:val="1"/>
              <w:kinsoku w:val="0"/>
              <w:overflowPunct w:val="0"/>
              <w:autoSpaceDE w:val="0"/>
              <w:autoSpaceDN w:val="0"/>
              <w:adjustRightInd w:val="0"/>
              <w:spacing w:line="240" w:lineRule="exact"/>
              <w:ind w:firstLine="945" w:firstLineChars="450"/>
              <w:jc w:val="left"/>
              <w:textAlignment w:val="baseline"/>
              <w:rPr>
                <w:rFonts w:hint="default" w:asciiTheme="majorEastAsia" w:hAnsiTheme="majorEastAsia" w:eastAsiaTheme="majorEastAsia"/>
                <w:color w:val="000000"/>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2" behindDoc="0" locked="0" layoutInCell="1" hidden="0" allowOverlap="1">
                      <wp:simplePos x="0" y="0"/>
                      <wp:positionH relativeFrom="column">
                        <wp:posOffset>1012190</wp:posOffset>
                      </wp:positionH>
                      <wp:positionV relativeFrom="paragraph">
                        <wp:posOffset>22860</wp:posOffset>
                      </wp:positionV>
                      <wp:extent cx="1233805" cy="2317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23380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97.15pt;height:18.25pt;mso-position-horizontal-relative:text;position:absolute;margin-left:79.7pt;margin-top:1.8pt;mso-wrap-distance-bottom:3.6pt;mso-wrap-distance-right:9pt;mso-wrap-distance-top:3.6pt;v-text-anchor:middle;" o:spid="_x0000_s1027"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×１００－１００</w:t>
                            </w:r>
                          </w:p>
                        </w:txbxContent>
                      </v:textbox>
                      <v:imagedata o:title=""/>
                      <w10:wrap type="none" anchorx="text" anchory="text"/>
                    </v:shape>
                  </w:pict>
                </mc:Fallback>
              </mc:AlternateConten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Ｅ</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000000"/>
              </w:rPr>
              <w:t>上昇率　　　　　　（≧２０）％</w:t>
            </w: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　　　　　ｅ</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Ｅ：原油等の最近１か月間における平均仕入単価　　　（令和　　年　　月）</w:t>
            </w:r>
            <w:r>
              <w:rPr>
                <w:rFonts w:hint="eastAsia" w:asciiTheme="majorEastAsia" w:hAnsiTheme="majorEastAsia" w:eastAsiaTheme="majorEastAsia"/>
                <w:color w:val="000000"/>
                <w:kern w:val="0"/>
                <w:u w:val="single" w:color="auto"/>
              </w:rPr>
              <w:t>　　　　　　　　</w:t>
            </w:r>
            <w:r>
              <w:rPr>
                <w:rFonts w:hint="eastAsia" w:asciiTheme="majorEastAsia" w:hAnsiTheme="majorEastAsia" w:eastAsiaTheme="majorEastAsia"/>
                <w:color w:val="000000"/>
                <w:kern w:val="0"/>
                <w:u w:val="single" w:color="000000"/>
              </w:rPr>
              <w:t>円</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ｅ：Ｅの期間に対応する前年の１か月間の平均仕入単価（令和　　年　　月）</w:t>
            </w:r>
            <w:r>
              <w:rPr>
                <w:rFonts w:hint="eastAsia" w:asciiTheme="majorEastAsia" w:hAnsiTheme="majorEastAsia" w:eastAsiaTheme="majorEastAsia"/>
                <w:color w:val="000000"/>
                <w:kern w:val="0"/>
                <w:u w:val="single" w:color="auto"/>
              </w:rPr>
              <w:t>　　　　　　　　</w:t>
            </w:r>
            <w:r>
              <w:rPr>
                <w:rFonts w:hint="eastAsia" w:asciiTheme="majorEastAsia" w:hAnsiTheme="majorEastAsia" w:eastAsiaTheme="majorEastAsia"/>
                <w:color w:val="000000"/>
                <w:kern w:val="0"/>
                <w:u w:val="single" w:color="000000"/>
              </w:rPr>
              <w:t>円</w:t>
            </w:r>
          </w:p>
          <w:p>
            <w:pPr>
              <w:pStyle w:val="0"/>
              <w:suppressAutoHyphens w:val="1"/>
              <w:kinsoku w:val="0"/>
              <w:overflowPunct w:val="0"/>
              <w:autoSpaceDE w:val="0"/>
              <w:autoSpaceDN w:val="0"/>
              <w:adjustRightInd w:val="0"/>
              <w:spacing w:line="240" w:lineRule="exact"/>
              <w:ind w:firstLine="105" w:firstLineChars="5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②</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原油等が売上原価に占める割合</w:t>
            </w: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3" behindDoc="0" locked="0" layoutInCell="1" hidden="0" allowOverlap="1">
                      <wp:simplePos x="0" y="0"/>
                      <wp:positionH relativeFrom="column">
                        <wp:posOffset>1014095</wp:posOffset>
                      </wp:positionH>
                      <wp:positionV relativeFrom="paragraph">
                        <wp:posOffset>23495</wp:posOffset>
                      </wp:positionV>
                      <wp:extent cx="603885" cy="23177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7.55pt;height:18.25pt;mso-position-horizontal-relative:text;position:absolute;margin-left:79.84pt;margin-top:1.85pt;mso-wrap-distance-bottom:3.6pt;mso-wrap-distance-right:9pt;mso-wrap-distance-top:3.6pt;v-text-anchor:middle;" o:spid="_x0000_s1028"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v:textbox>
                      <v:imagedata o:title=""/>
                      <w10:wrap type="none" anchorx="text" anchory="text"/>
                    </v:shape>
                  </w:pict>
                </mc:Fallback>
              </mc:AlternateContent>
            </w: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Ｓ</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auto"/>
              </w:rPr>
              <w:t>指定業種に係る</w:t>
            </w:r>
            <w:r>
              <w:rPr>
                <w:rFonts w:hint="eastAsia" w:asciiTheme="majorEastAsia" w:hAnsiTheme="majorEastAsia" w:eastAsiaTheme="majorEastAsia"/>
                <w:color w:val="000000"/>
                <w:kern w:val="0"/>
                <w:u w:val="single" w:color="000000"/>
              </w:rPr>
              <w:t>依存率　　　　　（≧２０）％</w:t>
            </w: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kern w:val="0"/>
                <w:u w:val="single" w:color="000000"/>
              </w:rPr>
            </w:pP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Ｃ</w:t>
            </w: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auto"/>
              </w:rPr>
              <w:t>全体に係る依存率　　　</w:t>
            </w:r>
            <w:r>
              <w:rPr>
                <w:rFonts w:hint="eastAsia" w:asciiTheme="majorEastAsia" w:hAnsiTheme="majorEastAsia" w:eastAsiaTheme="majorEastAsia"/>
                <w:color w:val="000000"/>
                <w:kern w:val="0"/>
                <w:u w:val="single" w:color="000000"/>
              </w:rPr>
              <w:t>　　　　（≧２０）％</w:t>
            </w:r>
          </w:p>
          <w:p>
            <w:pPr>
              <w:pStyle w:val="0"/>
              <w:suppressAutoHyphens w:val="1"/>
              <w:kinsoku w:val="0"/>
              <w:overflowPunct w:val="0"/>
              <w:autoSpaceDE w:val="0"/>
              <w:autoSpaceDN w:val="0"/>
              <w:adjustRightInd w:val="0"/>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u w:val="single" w:color="000000"/>
              </w:rPr>
              <w:t>最近１か月間における全体の売上原価に占める指定業種の売上原価の割合　　　　　（≧２０）％</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u w:val="single" w:color="000000"/>
              </w:rPr>
            </w:pPr>
            <w:r>
              <w:rPr>
                <w:rFonts w:hint="eastAsia" w:asciiTheme="majorEastAsia" w:hAnsiTheme="majorEastAsia" w:eastAsiaTheme="majorEastAsia"/>
                <w:color w:val="000000"/>
                <w:kern w:val="0"/>
              </w:rPr>
              <w:t>Ｃ：最近１か月の売上原価　　　　　　　　　　　</w:t>
            </w:r>
            <w:r>
              <w:rPr>
                <w:rFonts w:hint="eastAsia" w:asciiTheme="majorEastAsia" w:hAnsiTheme="majorEastAsia" w:eastAsiaTheme="majorEastAsia"/>
                <w:color w:val="000000"/>
                <w:kern w:val="0"/>
                <w:u w:val="single" w:color="auto"/>
              </w:rPr>
              <w:t>指定業種に係る売上原価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840" w:firstLineChars="4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（令和　　年　　月）　　　　　　　　　　</w:t>
            </w:r>
            <w:r>
              <w:rPr>
                <w:rFonts w:hint="eastAsia" w:asciiTheme="majorEastAsia" w:hAnsiTheme="majorEastAsia" w:eastAsiaTheme="majorEastAsia"/>
                <w:color w:val="000000"/>
                <w:kern w:val="0"/>
                <w:u w:val="single" w:color="auto"/>
              </w:rPr>
              <w:t>全体に係る売上原価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u w:val="single" w:color="000000"/>
              </w:rPr>
            </w:pPr>
            <w:r>
              <w:rPr>
                <w:rFonts w:hint="eastAsia" w:asciiTheme="majorEastAsia" w:hAnsiTheme="majorEastAsia" w:eastAsiaTheme="majorEastAsia"/>
                <w:color w:val="000000"/>
                <w:kern w:val="0"/>
              </w:rPr>
              <w:t>Ｓ：Ｃの売上原価に対応する原油等の仕入額　　　</w:t>
            </w:r>
            <w:r>
              <w:rPr>
                <w:rFonts w:hint="eastAsia" w:asciiTheme="majorEastAsia" w:hAnsiTheme="majorEastAsia" w:eastAsiaTheme="majorEastAsia"/>
                <w:color w:val="000000"/>
                <w:kern w:val="0"/>
                <w:u w:val="single" w:color="auto"/>
              </w:rPr>
              <w:t>指定業種に係る仕入額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2940" w:firstLineChars="14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auto"/>
              </w:rPr>
              <w:t>全体に係る仕入額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105" w:firstLineChars="5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③</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製品等価格への転嫁の状況</w:t>
            </w:r>
          </w:p>
          <w:p>
            <w:pPr>
              <w:pStyle w:val="0"/>
              <w:suppressAutoHyphens w:val="1"/>
              <w:kinsoku w:val="0"/>
              <w:overflowPunct w:val="0"/>
              <w:autoSpaceDE w:val="0"/>
              <w:autoSpaceDN w:val="0"/>
              <w:adjustRightInd w:val="0"/>
              <w:spacing w:line="240" w:lineRule="exact"/>
              <w:ind w:firstLine="840" w:firstLineChars="400"/>
              <w:textAlignment w:val="baseline"/>
              <w:rPr>
                <w:rFonts w:hint="default" w:asciiTheme="majorEastAsia" w:hAnsiTheme="majorEastAsia" w:eastAsiaTheme="majorEastAsia"/>
                <w:color w:val="000000"/>
                <w:kern w:val="0"/>
              </w:rPr>
            </w:pPr>
            <w:r>
              <w:rPr>
                <w:rFonts w:hint="default" w:asciiTheme="majorEastAsia" w:hAnsiTheme="majorEastAsia" w:eastAsiaTheme="majorEastAsia"/>
              </w:rPr>
              <mc:AlternateContent>
                <mc:Choice Requires="wps">
                  <w:drawing>
                    <wp:anchor distT="45720" distB="45720" distL="114300" distR="114300" simplePos="0" relativeHeight="4" behindDoc="0" locked="0" layoutInCell="1" hidden="0" allowOverlap="1">
                      <wp:simplePos x="0" y="0"/>
                      <wp:positionH relativeFrom="column">
                        <wp:posOffset>1752600</wp:posOffset>
                      </wp:positionH>
                      <wp:positionV relativeFrom="paragraph">
                        <wp:posOffset>18415</wp:posOffset>
                      </wp:positionV>
                      <wp:extent cx="603885" cy="23177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47.55pt;height:18.25pt;mso-position-horizontal-relative:text;position:absolute;margin-left:138pt;margin-top:1.45pt;mso-wrap-distance-bottom:3.6pt;mso-wrap-distance-right:9pt;mso-wrap-distance-top:3.6pt;v-text-anchor:middle;" o:spid="_x0000_s1029"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＝Ｐ</w:t>
                            </w:r>
                          </w:p>
                        </w:txbxContent>
                      </v:textbox>
                      <v:imagedata o:title=""/>
                      <w10:wrap type="none" anchorx="text" anchory="text"/>
                    </v:shape>
                  </w:pict>
                </mc:Fallback>
              </mc:AlternateContent>
            </w:r>
            <w:r>
              <w:rPr>
                <w:rFonts w:hint="default" w:asciiTheme="majorEastAsia" w:hAnsiTheme="majorEastAsia" w:eastAsiaTheme="majorEastAsia"/>
                <w:color w:val="000000"/>
                <w:kern w:val="0"/>
              </w:rPr>
              <w:t xml:space="preserve">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Ａ</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ａ</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auto"/>
              </w:rPr>
              <w:t>指定業種に係る転嫁の状況Ｐ</w:t>
            </w:r>
            <w:r>
              <w:rPr>
                <w:rFonts w:hint="eastAsia" w:asciiTheme="majorEastAsia" w:hAnsiTheme="majorEastAsia" w:eastAsiaTheme="majorEastAsia"/>
                <w:color w:val="000000"/>
                <w:kern w:val="0"/>
                <w:u w:val="single" w:color="000000"/>
              </w:rPr>
              <w:t>＝　　　（＞０）</w:t>
            </w:r>
          </w:p>
          <w:p>
            <w:pPr>
              <w:pStyle w:val="0"/>
              <w:suppressAutoHyphens w:val="1"/>
              <w:kinsoku w:val="0"/>
              <w:overflowPunct w:val="0"/>
              <w:autoSpaceDE w:val="0"/>
              <w:autoSpaceDN w:val="0"/>
              <w:adjustRightInd w:val="0"/>
              <w:spacing w:line="240" w:lineRule="exac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　　</w:t>
            </w: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Ｂ　　</w:t>
            </w: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ｂ　　　　　　　　　　　　　</w:t>
            </w:r>
            <w:r>
              <w:rPr>
                <w:rFonts w:hint="eastAsia" w:asciiTheme="majorEastAsia" w:hAnsiTheme="majorEastAsia" w:eastAsiaTheme="majorEastAsia"/>
                <w:color w:val="000000"/>
                <w:kern w:val="0"/>
                <w:u w:val="single" w:color="auto"/>
              </w:rPr>
              <w:t>全体に係る転嫁の状況　　Ｐ＝　</w:t>
            </w:r>
            <w:r>
              <w:rPr>
                <w:rFonts w:hint="eastAsia" w:asciiTheme="majorEastAsia" w:hAnsiTheme="majorEastAsia" w:eastAsiaTheme="majorEastAsia"/>
                <w:color w:val="000000"/>
                <w:kern w:val="0"/>
                <w:u w:val="single" w:color="000000"/>
              </w:rPr>
              <w:t>　　（＞０）</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Ａ：最近３か月間の原油等の仕入額　　　　　　　</w:t>
            </w:r>
            <w:r>
              <w:rPr>
                <w:rFonts w:hint="eastAsia" w:asciiTheme="majorEastAsia" w:hAnsiTheme="majorEastAsia" w:eastAsiaTheme="majorEastAsia"/>
                <w:color w:val="000000"/>
                <w:kern w:val="0"/>
                <w:u w:val="single" w:color="auto"/>
              </w:rPr>
              <w:t>指定業種に係る仕入額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420" w:firstLineChars="2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（令和　　年　　月～令和　　年　　月）　　　</w:t>
            </w:r>
            <w:r>
              <w:rPr>
                <w:rFonts w:hint="eastAsia" w:asciiTheme="majorEastAsia" w:hAnsiTheme="majorEastAsia" w:eastAsiaTheme="majorEastAsia"/>
                <w:color w:val="000000"/>
                <w:kern w:val="0"/>
                <w:u w:val="single" w:color="auto"/>
              </w:rPr>
              <w:t>全体に係る仕入額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w:t>
            </w:r>
            <w:r>
              <w:rPr>
                <w:rFonts w:hint="eastAsia" w:asciiTheme="majorEastAsia" w:hAnsiTheme="majorEastAsia" w:eastAsiaTheme="majorEastAsia"/>
                <w:color w:val="000000"/>
                <w:spacing w:val="0"/>
                <w:w w:val="83"/>
                <w:kern w:val="0"/>
                <w:fitText w:val="4200" w:id="2"/>
              </w:rPr>
              <w:t>Ａの期間に対応する前年の３か月間の原油等の仕入</w:t>
            </w:r>
            <w:r>
              <w:rPr>
                <w:rFonts w:hint="eastAsia" w:asciiTheme="majorEastAsia" w:hAnsiTheme="majorEastAsia" w:eastAsiaTheme="majorEastAsia"/>
                <w:color w:val="000000"/>
                <w:spacing w:val="13"/>
                <w:w w:val="83"/>
                <w:kern w:val="0"/>
                <w:fitText w:val="4200" w:id="2"/>
              </w:rPr>
              <w:t>額</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auto"/>
              </w:rPr>
              <w:t>指定業種に係る仕入額　　　　　　　　　　円</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　（令和　　年　　月～令和　　年　　月）　　　</w:t>
            </w:r>
            <w:r>
              <w:rPr>
                <w:rFonts w:hint="eastAsia" w:asciiTheme="majorEastAsia" w:hAnsiTheme="majorEastAsia" w:eastAsiaTheme="majorEastAsia"/>
                <w:color w:val="000000"/>
                <w:kern w:val="0"/>
                <w:u w:val="single" w:color="auto"/>
              </w:rPr>
              <w:t>全体に係る仕入額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Ｂ：最近３か月間の売上高　　　　　　　　　　　</w:t>
            </w:r>
            <w:r>
              <w:rPr>
                <w:rFonts w:hint="eastAsia" w:asciiTheme="majorEastAsia" w:hAnsiTheme="majorEastAsia" w:eastAsiaTheme="majorEastAsia"/>
                <w:color w:val="000000"/>
                <w:kern w:val="0"/>
                <w:u w:val="single" w:color="auto"/>
              </w:rPr>
              <w:t>指定業種に係る売上高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u w:val="single" w:color="000000"/>
              </w:rPr>
            </w:pPr>
            <w:r>
              <w:rPr>
                <w:rFonts w:hint="eastAsia" w:asciiTheme="majorEastAsia" w:hAnsiTheme="majorEastAsia" w:eastAsiaTheme="majorEastAsia"/>
                <w:color w:val="000000"/>
                <w:kern w:val="0"/>
              </w:rPr>
              <w:t>　（令和　　年　　月～令和　　年　　月）　　　</w:t>
            </w:r>
            <w:r>
              <w:rPr>
                <w:rFonts w:hint="eastAsia" w:asciiTheme="majorEastAsia" w:hAnsiTheme="majorEastAsia" w:eastAsiaTheme="majorEastAsia"/>
                <w:color w:val="000000"/>
                <w:kern w:val="0"/>
                <w:u w:val="single" w:color="auto"/>
              </w:rPr>
              <w:t>全体に係る売上高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ｂ：Ｂの期間に対応する前年の３か月間の売上高　</w:t>
            </w:r>
            <w:r>
              <w:rPr>
                <w:rFonts w:hint="eastAsia" w:asciiTheme="majorEastAsia" w:hAnsiTheme="majorEastAsia" w:eastAsiaTheme="majorEastAsia"/>
                <w:color w:val="000000"/>
                <w:kern w:val="0"/>
                <w:u w:val="single" w:color="auto"/>
              </w:rPr>
              <w:t>指定業種に係る売上高　　　　　　　　　　円</w:t>
            </w:r>
          </w:p>
          <w:p>
            <w:pPr>
              <w:pStyle w:val="0"/>
              <w:suppressAutoHyphens w:val="1"/>
              <w:kinsoku w:val="0"/>
              <w:overflowPunct w:val="0"/>
              <w:autoSpaceDE w:val="0"/>
              <w:autoSpaceDN w:val="0"/>
              <w:adjustRightInd w:val="0"/>
              <w:spacing w:line="240" w:lineRule="exact"/>
              <w:ind w:left="210" w:leftChars="100"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（令和　　年　　月～令和　　年　　月）　　　</w:t>
            </w:r>
            <w:r>
              <w:rPr>
                <w:rFonts w:hint="eastAsia" w:asciiTheme="majorEastAsia" w:hAnsiTheme="majorEastAsia" w:eastAsiaTheme="majorEastAsia"/>
                <w:color w:val="000000"/>
                <w:kern w:val="0"/>
                <w:u w:val="single" w:color="auto"/>
              </w:rPr>
              <w:t>全体に係る売上高　　　　　　　　　　　</w:t>
            </w:r>
            <w:r>
              <w:rPr>
                <w:rFonts w:hint="eastAsia" w:asciiTheme="majorEastAsia" w:hAnsiTheme="majorEastAsia" w:eastAsiaTheme="majorEastAsia"/>
                <w:color w:val="000000"/>
                <w:kern w:val="0"/>
                <w:u w:val="single" w:color="000000"/>
              </w:rPr>
              <w:t>　円</w:t>
            </w:r>
          </w:p>
        </w:tc>
      </w:tr>
      <w:tr>
        <w:trPr>
          <w:trHeight w:val="2064" w:hRule="atLeast"/>
        </w:trPr>
        <w:tc>
          <w:tcPr>
            <w:tcW w:w="9639" w:type="dxa"/>
            <w:shd w:val="clear" w:color="auto" w:fill="auto"/>
            <w:vAlign w:val="top"/>
          </w:tcPr>
          <w:p>
            <w:pPr>
              <w:pStyle w:val="0"/>
              <w:spacing w:before="169" w:beforeLines="50" w:beforeAutospacing="0"/>
              <w:ind w:firstLine="5670" w:firstLineChars="2700"/>
              <w:rPr>
                <w:rFonts w:hint="default" w:asciiTheme="majorEastAsia" w:hAnsiTheme="majorEastAsia" w:eastAsiaTheme="majorEastAsia"/>
              </w:rPr>
            </w:pPr>
            <w:r>
              <w:rPr>
                <w:rFonts w:hint="eastAsia" w:asciiTheme="majorEastAsia" w:hAnsiTheme="majorEastAsia" w:eastAsiaTheme="majorEastAsia"/>
              </w:rPr>
              <w:t>指令産支（金セ）第　　　　　号</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ind w:firstLine="4620" w:firstLineChars="2200"/>
              <w:rPr>
                <w:rFonts w:hint="default"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rPr>
              <w:t xml:space="preserve"> </w:t>
            </w:r>
            <w:r>
              <w:rPr>
                <w:rFonts w:hint="eastAsia" w:asciiTheme="majorEastAsia" w:hAnsiTheme="majorEastAsia" w:eastAsiaTheme="majorEastAsia"/>
              </w:rPr>
              <w:t>　　年</w:t>
            </w:r>
            <w:r>
              <w:rPr>
                <w:rFonts w:hint="eastAsia" w:asciiTheme="majorEastAsia" w:hAnsiTheme="majorEastAsia" w:eastAsiaTheme="majorEastAsia"/>
              </w:rPr>
              <w:t xml:space="preserve"> </w:t>
            </w:r>
            <w:r>
              <w:rPr>
                <w:rFonts w:hint="eastAsia" w:asciiTheme="majorEastAsia" w:hAnsiTheme="majorEastAsia" w:eastAsiaTheme="majorEastAsia"/>
              </w:rPr>
              <w:t>　　月</w:t>
            </w:r>
            <w:r>
              <w:rPr>
                <w:rFonts w:hint="eastAsia" w:asciiTheme="majorEastAsia" w:hAnsiTheme="majorEastAsia" w:eastAsiaTheme="majorEastAsia"/>
              </w:rPr>
              <w:t xml:space="preserve"> </w:t>
            </w:r>
            <w:r>
              <w:rPr>
                <w:rFonts w:hint="eastAsia" w:asciiTheme="majorEastAsia" w:hAnsiTheme="majorEastAsia" w:eastAsiaTheme="majorEastAsia"/>
              </w:rPr>
              <w:t>　　日</w:t>
            </w:r>
          </w:p>
          <w:p>
            <w:pPr>
              <w:pStyle w:val="0"/>
              <w:spacing w:before="169" w:beforeLines="50" w:beforeAutospacing="0" w:after="169" w:afterLines="50" w:afterAutospacing="0"/>
              <w:rPr>
                <w:rFonts w:hint="default" w:asciiTheme="majorEastAsia" w:hAnsiTheme="majorEastAsia" w:eastAsiaTheme="majorEastAsia"/>
              </w:rPr>
            </w:pPr>
            <w:r>
              <w:rPr>
                <w:rFonts w:hint="eastAsia" w:asciiTheme="majorEastAsia" w:hAnsiTheme="majorEastAsia" w:eastAsiaTheme="majorEastAsia"/>
              </w:rPr>
              <w:t>　　　　　　　　　　　　　　　　　　　　　　中種子町長　</w:t>
            </w:r>
            <w:bookmarkStart w:id="0" w:name="_GoBack"/>
            <w:bookmarkEnd w:id="0"/>
            <w:r>
              <w:rPr>
                <w:rFonts w:hint="eastAsia" w:asciiTheme="majorEastAsia" w:hAnsiTheme="majorEastAsia" w:eastAsiaTheme="majorEastAsia"/>
              </w:rPr>
              <w:t>田渕川寿広</w:t>
            </w:r>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rPr>
              <w:t>信用保証協会への申込期間：令和　　年　　月　　日から令和　　年　　月　　日まで</w:t>
            </w:r>
          </w:p>
        </w:tc>
      </w:tr>
    </w:tbl>
    <w:p>
      <w:pPr>
        <w:pStyle w:val="0"/>
        <w:suppressAutoHyphens w:val="1"/>
        <w:wordWrap w:val="0"/>
        <w:spacing w:line="240" w:lineRule="exact"/>
        <w:ind w:left="1230" w:hanging="123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（留意事項）</w:t>
      </w:r>
    </w:p>
    <w:p>
      <w:pPr>
        <w:pStyle w:val="0"/>
        <w:widowControl w:val="1"/>
        <w:ind w:left="600" w:leftChars="102" w:hanging="386" w:hangingChars="203"/>
        <w:jc w:val="left"/>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①本認定とは別に、金融機関及び信用保証協会による金融上の審査があります。</w:t>
      </w:r>
    </w:p>
    <w:p>
      <w:pPr>
        <w:pStyle w:val="0"/>
        <w:suppressAutoHyphens w:val="1"/>
        <w:wordWrap w:val="0"/>
        <w:spacing w:line="240" w:lineRule="exact"/>
        <w:ind w:left="400" w:leftChars="100" w:hanging="190" w:hangingChars="100"/>
        <w:jc w:val="left"/>
        <w:textAlignment w:val="baseline"/>
        <w:rPr>
          <w:rFonts w:hint="default" w:asciiTheme="majorEastAsia" w:hAnsiTheme="majorEastAsia" w:eastAsiaTheme="majorEastAsia"/>
          <w:color w:val="000000"/>
          <w:spacing w:val="-10"/>
          <w:kern w:val="0"/>
        </w:rPr>
      </w:pPr>
      <w:r>
        <w:rPr>
          <w:rFonts w:hint="default" w:asciiTheme="majorEastAsia" w:hAnsiTheme="majorEastAsia" w:eastAsiaTheme="majorEastAsia"/>
          <w:color w:val="000000"/>
          <w:spacing w:val="-10"/>
          <w:kern w:val="0"/>
        </w:rPr>
        <w:t>②</w:t>
      </w:r>
      <w:r>
        <w:rPr>
          <w:rFonts w:hint="default" w:asciiTheme="majorEastAsia" w:hAnsiTheme="majorEastAsia" w:eastAsiaTheme="majorEastAsia"/>
          <w:color w:val="000000"/>
          <w:spacing w:val="-10"/>
          <w:kern w:val="0"/>
        </w:rPr>
        <w:t>市長</w:t>
      </w:r>
      <w:r>
        <w:rPr>
          <w:rFonts w:hint="eastAsia" w:asciiTheme="majorEastAsia" w:hAnsiTheme="majorEastAsia" w:eastAsiaTheme="majorEastAsia"/>
          <w:color w:val="000000"/>
          <w:spacing w:val="-10"/>
          <w:kern w:val="0"/>
        </w:rPr>
        <w:t>から認定を受けた日から３０日以内に信用保証協会に対して、保証の申込みを行うことが必要です。</w:t>
      </w:r>
    </w:p>
    <w:sectPr>
      <w:footerReference r:id="rId5" w:type="default"/>
      <w:pgSz w:w="11906" w:h="16838"/>
      <w:pgMar w:top="567" w:right="1134" w:bottom="567" w:left="1134" w:header="284" w:footer="284" w:gutter="0"/>
      <w:pgNumType w:fmt="numberInDash"/>
      <w:cols w:space="720"/>
      <w:noEndnote w:val="1"/>
      <w:textDirection w:val="lrTb"/>
      <w:docGrid w:type="lines" w:linePitch="348"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Formatting/>
  <w:defaultTabStop w:val="840"/>
  <w:drawingGridHorizontalSpacing w:val="107"/>
  <w:drawingGridVerticalSpacing w:val="174"/>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1022</Characters>
  <Application>JUST Note</Application>
  <Lines>68</Lines>
  <Paragraphs>45</Paragraphs>
  <Company>METI</Company>
  <CharactersWithSpaces>1625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松原 理子</cp:lastModifiedBy>
  <cp:lastPrinted>2024-12-23T01:47:00Z</cp:lastPrinted>
  <dcterms:created xsi:type="dcterms:W3CDTF">2024-12-23T01:47:00Z</dcterms:created>
  <dcterms:modified xsi:type="dcterms:W3CDTF">2025-09-09T05:41:37Z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