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5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48"/>
        <w:gridCol w:w="3067"/>
        <w:gridCol w:w="3067"/>
        <w:gridCol w:w="3068"/>
      </w:tblGrid>
      <w:tr>
        <w:trPr>
          <w:trHeight w:val="238" w:hRule="atLeast"/>
        </w:trPr>
        <w:tc>
          <w:tcPr>
            <w:tcW w:w="448" w:type="dxa"/>
            <w:vMerge w:val="restart"/>
            <w:tcBorders>
              <w:top w:val="single" w:color="auto" w:sz="4" w:space="0"/>
              <w:left w:val="single" w:color="auto" w:sz="4" w:space="0"/>
              <w:bottom w:val="none" w:color="auto" w:sz="0" w:space="0"/>
              <w:right w:val="single" w:color="auto" w:sz="2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r>
              <w:rPr>
                <w:rFonts w:hint="eastAsia" w:asciiTheme="majorEastAsia" w:hAnsiTheme="majorEastAsia" w:eastAsiaTheme="majorEastAsia"/>
                <w:kern w:val="0"/>
                <w:sz w:val="16"/>
                <w:fitText w:val="640" w:id="1"/>
              </w:rPr>
              <w:t>認定権者</w:t>
            </w:r>
            <w:r>
              <w:rPr>
                <w:rFonts w:hint="eastAsia" w:asciiTheme="majorEastAsia" w:hAnsiTheme="majorEastAsia" w:eastAsiaTheme="majorEastAsia"/>
                <w:sz w:val="16"/>
              </w:rPr>
              <w:t>記入欄</w:t>
            </w:r>
          </w:p>
        </w:tc>
        <w:tc>
          <w:tcPr>
            <w:tcW w:w="306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r>
        <w:trPr>
          <w:trHeight w:val="273" w:hRule="atLeast"/>
        </w:trPr>
        <w:tc>
          <w:tcPr>
            <w:tcW w:w="4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p>
        </w:tc>
        <w:tc>
          <w:tcPr>
            <w:tcW w:w="3067" w:type="dxa"/>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bl>
    <w:p>
      <w:pPr>
        <w:pStyle w:val="0"/>
        <w:suppressAutoHyphens w:val="1"/>
        <w:wordWrap w:val="0"/>
        <w:spacing w:line="30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様式第５－（ハ）－②　＜利益率要件＞（指定業種と非指定業種を営んでいる場合）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1018"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72" w:beforeLines="50" w:beforeAutospacing="0" w:after="172" w:afterLines="50" w:afterAutospacing="0"/>
              <w:jc w:val="center"/>
              <w:rPr>
                <w:rFonts w:hint="default" w:asciiTheme="majorEastAsia" w:hAnsiTheme="majorEastAsia" w:eastAsiaTheme="majorEastAsia"/>
              </w:rPr>
            </w:pPr>
            <w:r>
              <w:rPr>
                <w:rFonts w:hint="eastAsia" w:asciiTheme="majorEastAsia" w:hAnsiTheme="majorEastAsia" w:eastAsiaTheme="majorEastAsia"/>
                <w:color w:val="000000"/>
                <w:kern w:val="0"/>
              </w:rPr>
              <w:t>中小企業信用保険法第２条第５項第５号の規定による認定申請書</w:t>
            </w:r>
          </w:p>
          <w:p>
            <w:pPr>
              <w:pStyle w:val="0"/>
              <w:ind w:firstLine="5939" w:firstLineChars="2828"/>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中種子町長　田渕川寿広　殿</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申請者</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住　所　　　　　　　　　　　　　　　　　</w:t>
            </w:r>
          </w:p>
          <w:p>
            <w:pPr>
              <w:pStyle w:val="0"/>
              <w:ind w:firstLine="5040" w:firstLineChars="2400"/>
              <w:rPr>
                <w:rFonts w:hint="default" w:asciiTheme="majorEastAsia" w:hAnsiTheme="majorEastAsia" w:eastAsiaTheme="majorEastAsia"/>
                <w:vertAlign w:val="superscript"/>
              </w:rPr>
            </w:pPr>
            <w:r>
              <w:rPr>
                <w:rFonts w:hint="eastAsia" w:asciiTheme="majorEastAsia" w:hAnsiTheme="majorEastAsia" w:eastAsiaTheme="majorEastAsia"/>
                <w:vertAlign w:val="superscript"/>
              </w:rPr>
              <w:t>（名称及び代表者の氏名）</w:t>
            </w:r>
          </w:p>
          <w:p>
            <w:pPr>
              <w:pStyle w:val="0"/>
              <w:ind w:firstLine="5040" w:firstLineChars="24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uppressAutoHyphens w:val="1"/>
              <w:kinsoku w:val="0"/>
              <w:overflowPunct w:val="0"/>
              <w:autoSpaceDE w:val="0"/>
              <w:autoSpaceDN w:val="0"/>
              <w:adjustRightInd w:val="0"/>
              <w:ind w:right="566"/>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私は、表に記載する業を営んでいるが、下記のとおり、</w:t>
            </w:r>
            <w:r>
              <w:rPr>
                <w:rFonts w:hint="eastAsia" w:asciiTheme="majorEastAsia" w:hAnsiTheme="majorEastAsia" w:eastAsiaTheme="majorEastAsia"/>
                <w:color w:val="000000"/>
                <w:kern w:val="0"/>
                <w:u w:val="single" w:color="000000"/>
              </w:rPr>
              <w:t>　　　　　　　　　　　　（注）の増加</w:t>
            </w:r>
            <w:r>
              <w:rPr>
                <w:rFonts w:hint="eastAsia" w:asciiTheme="majorEastAsia" w:hAnsiTheme="majorEastAsia" w:eastAsiaTheme="majorEastAsia"/>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asciiTheme="majorEastAsia" w:hAnsiTheme="majorEastAsia" w:eastAsiaTheme="majorEastAsia"/>
              </w:rPr>
            </w:pPr>
            <w:r>
              <w:rPr>
                <w:rFonts w:hint="eastAsia" w:asciiTheme="majorEastAsia" w:hAnsiTheme="majorEastAsia" w:eastAsiaTheme="majorEastAsia"/>
              </w:rPr>
              <w:t>（表）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1"/>
              <w:gridCol w:w="3121"/>
              <w:gridCol w:w="3121"/>
            </w:tblGrid>
            <w:tr>
              <w:trPr>
                <w:trHeight w:val="372" w:hRule="atLeast"/>
              </w:trPr>
              <w:tc>
                <w:tcPr>
                  <w:tcW w:w="312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textAlignment w:val="baseline"/>
                    <w:rPr>
                      <w:rFonts w:hint="default" w:asciiTheme="majorEastAsia" w:hAnsiTheme="majorEastAsia" w:eastAsiaTheme="majorEastAsia"/>
                      <w:color w:val="000000"/>
                      <w:spacing w:val="16"/>
                      <w:kern w:val="0"/>
                    </w:rPr>
                  </w:pPr>
                </w:p>
              </w:tc>
              <w:tc>
                <w:tcPr>
                  <w:tcW w:w="312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r>
              <w:trPr>
                <w:trHeight w:val="388" w:hRule="atLeast"/>
              </w:trPr>
              <w:tc>
                <w:tcPr>
                  <w:tcW w:w="312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bl>
          <w:p>
            <w:pPr>
              <w:pStyle w:val="0"/>
              <w:suppressAutoHyphens w:val="1"/>
              <w:kinsoku w:val="0"/>
              <w:overflowPunct w:val="0"/>
              <w:autoSpaceDE w:val="0"/>
              <w:autoSpaceDN w:val="0"/>
              <w:adjustRightInd w:val="0"/>
              <w:spacing w:line="0" w:lineRule="atLeast"/>
              <w:ind w:right="-44" w:rightChars="-21"/>
              <w:jc w:val="left"/>
              <w:textAlignment w:val="baseline"/>
              <w:rPr>
                <w:rFonts w:hint="default" w:asciiTheme="majorEastAsia" w:hAnsiTheme="majorEastAsia" w:eastAsiaTheme="majorEastAsia"/>
                <w:color w:val="000000"/>
                <w:spacing w:val="-10"/>
                <w:kern w:val="0"/>
                <w:sz w:val="20"/>
              </w:rPr>
            </w:pPr>
            <w:r>
              <w:rPr>
                <w:rFonts w:hint="eastAsia" w:asciiTheme="majorEastAsia" w:hAnsiTheme="majorEastAsia" w:eastAsiaTheme="majorEastAsia"/>
                <w:color w:val="000000"/>
                <w:spacing w:val="-10"/>
                <w:kern w:val="0"/>
                <w:sz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40" w:lineRule="exact"/>
              <w:jc w:val="center"/>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3" behindDoc="0" locked="0" layoutInCell="1" hidden="0" allowOverlap="1">
                      <wp:simplePos x="0" y="0"/>
                      <wp:positionH relativeFrom="column">
                        <wp:posOffset>3907790</wp:posOffset>
                      </wp:positionH>
                      <wp:positionV relativeFrom="paragraph">
                        <wp:posOffset>133985</wp:posOffset>
                      </wp:positionV>
                      <wp:extent cx="339090" cy="1993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39090" cy="1993900"/>
                              </a:xfrm>
                              <a:prstGeom prst="rect">
                                <a:avLst/>
                              </a:prstGeom>
                              <a:noFill/>
                              <a:ln w="9525">
                                <a:noFill/>
                                <a:miter lim="800000"/>
                                <a:headEnd/>
                                <a:tailEnd/>
                              </a:ln>
                            </wps:spPr>
                            <wps:txbx>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wps:txbx>
                            <wps:bodyPr rot="0" vertOverflow="overflow" horzOverflow="overflow" wrap="square" rIns="0"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6.7pt;height:157pt;mso-position-horizontal-relative:text;position:absolute;margin-left:307.7pt;margin-top:10.55pt;mso-wrap-distance-bottom:3.6pt;mso-wrap-distance-right:9pt;mso-wrap-distance-top:3.6pt;v-text-anchor:top;" o:spid="_x0000_s1026" o:allowincell="t" o:allowoverlap="t" filled="f" stroked="f" strokeweight="0.75pt" o:spt="202" type="#_x0000_t202">
                      <v:fill/>
                      <v:stroke miterlimit="8"/>
                      <v:textbox style="layout-flow:horizontal;mso-fit-shape-to-text:t;" inset="2.5399999999999996mm,1.2699999999999998mm,0mm,1.2699999999999998mm">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v:textbox>
                      <v:imagedata o:title=""/>
                      <w10:wrap type="none" anchorx="text" anchory="text"/>
                    </v:shape>
                  </w:pict>
                </mc:Fallback>
              </mc:AlternateContent>
            </w:r>
            <w:r>
              <w:rPr>
                <w:rFonts w:hint="eastAsia" w:asciiTheme="majorEastAsia" w:hAnsiTheme="majorEastAsia" w:eastAsiaTheme="majorEastAsia"/>
                <w:color w:val="000000"/>
                <w:kern w:val="0"/>
              </w:rPr>
              <w:t>記</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１　事業開始年月日　　　　　　　　　　　　　　　　　　　　　</w:t>
            </w:r>
            <w:r>
              <w:rPr>
                <w:rFonts w:hint="eastAsia" w:asciiTheme="majorEastAsia" w:hAnsiTheme="majorEastAsia" w:eastAsiaTheme="majorEastAsia"/>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２　月平均売上高営業利益率</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2" behindDoc="0" locked="0" layoutInCell="1" hidden="0" allowOverlap="1">
                      <wp:simplePos x="0" y="0"/>
                      <wp:positionH relativeFrom="column">
                        <wp:posOffset>1199515</wp:posOffset>
                      </wp:positionH>
                      <wp:positionV relativeFrom="paragraph">
                        <wp:posOffset>67945</wp:posOffset>
                      </wp:positionV>
                      <wp:extent cx="603885" cy="2317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55pt;height:18.25pt;mso-position-horizontal-relative:text;position:absolute;margin-left:94.45pt;margin-top:5.35pt;mso-wrap-distance-bottom:3.6pt;mso-wrap-distance-right:9pt;mso-wrap-distance-top:3.6pt;v-text-anchor:middle;" o:spid="_x0000_s1027"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v:textbox>
                      <v:imagedata o:title=""/>
                      <w10:wrap type="none" anchorx="text" anchory="text"/>
                    </v:shape>
                  </w:pict>
                </mc:Fallback>
              </mc:AlternateContent>
            </w:r>
            <w:r>
              <w:rPr>
                <w:rFonts w:hint="eastAsia" w:asciiTheme="majorEastAsia" w:hAnsiTheme="majorEastAsia" w:eastAsiaTheme="majorEastAsia"/>
                <w:color w:val="000000"/>
                <w:kern w:val="0"/>
                <w:u w:val="single" w:color="000000"/>
              </w:rPr>
              <w:t>Ｂ－Ａ</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000000"/>
              </w:rPr>
              <w:t>指定業種の減少率　　　　％</w:t>
            </w:r>
            <w:r>
              <w:rPr>
                <w:rFonts w:hint="eastAsia" w:asciiTheme="majorEastAsia" w:hAnsiTheme="majorEastAsia" w:eastAsiaTheme="majorEastAsia"/>
                <w:color w:val="000000"/>
                <w:kern w:val="0"/>
              </w:rPr>
              <w:t>≧２０％</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kern w:val="0"/>
                <w:u w:val="single" w:color="000000"/>
              </w:rPr>
            </w:pPr>
            <w:r>
              <w:rPr>
                <w:rFonts w:hint="eastAsia" w:asciiTheme="majorEastAsia" w:hAnsiTheme="majorEastAsia" w:eastAsiaTheme="majorEastAsia"/>
                <w:color w:val="000000"/>
                <w:kern w:val="0"/>
              </w:rPr>
              <w:t>Ｂ　　　　　　　　　　　　　　　　　　　　　</w:t>
            </w:r>
            <w:r>
              <w:rPr>
                <w:rFonts w:hint="eastAsia" w:asciiTheme="majorEastAsia" w:hAnsiTheme="majorEastAsia" w:eastAsiaTheme="majorEastAsia"/>
                <w:color w:val="000000"/>
                <w:kern w:val="0"/>
                <w:u w:val="single" w:color="auto"/>
              </w:rPr>
              <w:t>全体の</w:t>
            </w:r>
            <w:r>
              <w:rPr>
                <w:rFonts w:hint="eastAsia" w:asciiTheme="majorEastAsia" w:hAnsiTheme="majorEastAsia" w:eastAsiaTheme="majorEastAsia"/>
                <w:color w:val="000000"/>
                <w:kern w:val="0"/>
                <w:u w:val="single" w:color="000000"/>
              </w:rPr>
              <w:t>減少率　　　　　　％</w:t>
            </w:r>
            <w:r>
              <w:rPr>
                <w:rFonts w:hint="eastAsia" w:asciiTheme="majorEastAsia" w:hAnsiTheme="majorEastAsia" w:eastAsiaTheme="majorEastAsia"/>
                <w:color w:val="000000"/>
                <w:kern w:val="0"/>
              </w:rPr>
              <w:t>≧２０％</w:t>
            </w:r>
          </w:p>
          <w:p>
            <w:pPr>
              <w:pStyle w:val="0"/>
              <w:suppressAutoHyphens w:val="1"/>
              <w:kinsoku w:val="0"/>
              <w:overflowPunct w:val="0"/>
              <w:autoSpaceDE w:val="0"/>
              <w:autoSpaceDN w:val="0"/>
              <w:adjustRightInd w:val="0"/>
              <w:ind w:left="182" w:right="-42" w:rightChars="-20" w:firstLine="210" w:firstLineChars="100"/>
              <w:jc w:val="left"/>
              <w:textAlignment w:val="baseline"/>
              <w:rPr>
                <w:rFonts w:hint="default" w:asciiTheme="majorEastAsia" w:hAnsiTheme="majorEastAsia" w:eastAsiaTheme="majorEastAsia"/>
                <w:color w:val="000000"/>
                <w:spacing w:val="16"/>
                <w:kern w:val="0"/>
                <w:u w:val="single" w:color="auto"/>
              </w:rPr>
            </w:pPr>
            <w:r>
              <w:rPr>
                <w:rFonts w:hint="eastAsia" w:asciiTheme="majorEastAsia" w:hAnsiTheme="majorEastAsia" w:eastAsiaTheme="majorEastAsia"/>
                <w:color w:val="000000"/>
                <w:kern w:val="0"/>
                <w:u w:val="single" w:color="auto"/>
              </w:rPr>
              <w:t>最近３か月間における全体の売上高等に占める指定業種の売上高等の割合　　　　　％</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ind w:firstLine="420" w:firstLineChars="2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Ａ：申込時点における最近３か月間の月平均売上高営業利益率</w:t>
            </w:r>
          </w:p>
          <w:p>
            <w:pPr>
              <w:pStyle w:val="0"/>
              <w:suppressAutoHyphens w:val="1"/>
              <w:kinsoku w:val="0"/>
              <w:overflowPunct w:val="0"/>
              <w:autoSpaceDE w:val="0"/>
              <w:autoSpaceDN w:val="0"/>
              <w:adjustRightInd w:val="0"/>
              <w:ind w:firstLine="420" w:firstLineChars="200"/>
              <w:jc w:val="left"/>
              <w:textAlignment w:val="baseline"/>
              <w:rPr>
                <w:rFonts w:hint="default" w:asciiTheme="majorEastAsia" w:hAnsiTheme="majorEastAsia" w:eastAsiaTheme="majorEastAsia"/>
                <w:color w:val="000000"/>
                <w:spacing w:val="16"/>
                <w:kern w:val="0"/>
                <w:u w:val="single" w:color="auto"/>
              </w:rPr>
            </w:pPr>
            <w:r>
              <w:rPr>
                <w:rFonts w:hint="eastAsia" w:asciiTheme="majorEastAsia" w:hAnsiTheme="majorEastAsia" w:eastAsiaTheme="majorEastAsia"/>
                <w:color w:val="000000"/>
                <w:kern w:val="0"/>
              </w:rPr>
              <w:t>（令和　　年　　月～令和　　年　　月）　</w:t>
            </w:r>
            <w:r>
              <w:rPr>
                <w:rFonts w:hint="eastAsia" w:asciiTheme="majorEastAsia" w:hAnsiTheme="majorEastAsia" w:eastAsiaTheme="majorEastAsia"/>
                <w:color w:val="000000"/>
                <w:kern w:val="0"/>
                <w:u w:val="single" w:color="auto"/>
              </w:rPr>
              <w:t>指定業種の月平均売上高営業利益率　　　　　％</w:t>
            </w:r>
          </w:p>
          <w:p>
            <w:pPr>
              <w:pStyle w:val="0"/>
              <w:suppressAutoHyphens w:val="1"/>
              <w:kinsoku w:val="0"/>
              <w:overflowPunct w:val="0"/>
              <w:autoSpaceDE w:val="0"/>
              <w:autoSpaceDN w:val="0"/>
              <w:adjustRightInd w:val="0"/>
              <w:ind w:firstLine="4620" w:firstLineChars="2200"/>
              <w:jc w:val="left"/>
              <w:textAlignment w:val="baseline"/>
              <w:rPr>
                <w:rFonts w:hint="default" w:asciiTheme="majorEastAsia" w:hAnsiTheme="majorEastAsia" w:eastAsiaTheme="majorEastAsia"/>
                <w:color w:val="000000"/>
                <w:kern w:val="0"/>
                <w:u w:val="single" w:color="000000"/>
              </w:rPr>
            </w:pPr>
            <w:r>
              <w:rPr>
                <w:rFonts w:hint="eastAsia" w:asciiTheme="majorEastAsia" w:hAnsiTheme="majorEastAsia" w:eastAsiaTheme="majorEastAsia"/>
                <w:color w:val="000000"/>
                <w:kern w:val="0"/>
                <w:u w:val="single" w:color="auto"/>
              </w:rPr>
              <w:t>全体の月平均売上高営業利益率</w:t>
            </w:r>
            <w:r>
              <w:rPr>
                <w:rFonts w:hint="eastAsia" w:asciiTheme="majorEastAsia" w:hAnsiTheme="majorEastAsia" w:eastAsiaTheme="majorEastAsia"/>
                <w:color w:val="000000"/>
                <w:kern w:val="0"/>
                <w:u w:val="single" w:color="000000"/>
              </w:rPr>
              <w:t>　　</w:t>
            </w:r>
            <w:r>
              <w:rPr>
                <w:rFonts w:hint="eastAsia" w:asciiTheme="majorEastAsia" w:hAnsiTheme="majorEastAsia" w:eastAsiaTheme="majorEastAsia"/>
                <w:color w:val="000000"/>
                <w:kern w:val="0"/>
                <w:u w:val="single" w:color="000000"/>
              </w:rPr>
              <w:t xml:space="preserve">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p>
          <w:p>
            <w:pPr>
              <w:pStyle w:val="0"/>
              <w:suppressAutoHyphens w:val="1"/>
              <w:kinsoku w:val="0"/>
              <w:overflowPunct w:val="0"/>
              <w:autoSpaceDE w:val="0"/>
              <w:autoSpaceDN w:val="0"/>
              <w:adjustRightInd w:val="0"/>
              <w:ind w:firstLine="420" w:firstLineChars="2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Ｂ：Ａの期間に対応する前年の３か月間の月平均売上高営業利益率</w:t>
            </w:r>
          </w:p>
          <w:p>
            <w:pPr>
              <w:pStyle w:val="0"/>
              <w:suppressAutoHyphens w:val="1"/>
              <w:kinsoku w:val="0"/>
              <w:overflowPunct w:val="0"/>
              <w:autoSpaceDE w:val="0"/>
              <w:autoSpaceDN w:val="0"/>
              <w:adjustRightInd w:val="0"/>
              <w:ind w:firstLine="420" w:firstLineChars="200"/>
              <w:jc w:val="left"/>
              <w:textAlignment w:val="baseline"/>
              <w:rPr>
                <w:rFonts w:hint="default" w:asciiTheme="majorEastAsia" w:hAnsiTheme="majorEastAsia" w:eastAsiaTheme="majorEastAsia"/>
                <w:color w:val="000000"/>
                <w:spacing w:val="16"/>
                <w:kern w:val="0"/>
                <w:u w:val="single" w:color="auto"/>
              </w:rPr>
            </w:pPr>
            <w:r>
              <w:rPr>
                <w:rFonts w:hint="eastAsia" w:asciiTheme="majorEastAsia" w:hAnsiTheme="majorEastAsia" w:eastAsiaTheme="majorEastAsia"/>
                <w:color w:val="000000"/>
                <w:kern w:val="0"/>
              </w:rPr>
              <w:t>（令和　　年　　月～令和　　年　　月）　</w:t>
            </w:r>
            <w:r>
              <w:rPr>
                <w:rFonts w:hint="eastAsia" w:asciiTheme="majorEastAsia" w:hAnsiTheme="majorEastAsia" w:eastAsiaTheme="majorEastAsia"/>
                <w:color w:val="000000"/>
                <w:kern w:val="0"/>
                <w:u w:val="single" w:color="auto"/>
              </w:rPr>
              <w:t>指定業種の月平均売上高営業利益率　　　　　％</w:t>
            </w:r>
          </w:p>
          <w:p>
            <w:pPr>
              <w:pStyle w:val="0"/>
              <w:suppressAutoHyphens w:val="1"/>
              <w:kinsoku w:val="0"/>
              <w:overflowPunct w:val="0"/>
              <w:autoSpaceDE w:val="0"/>
              <w:autoSpaceDN w:val="0"/>
              <w:adjustRightInd w:val="0"/>
              <w:ind w:firstLine="4620" w:firstLineChars="2200"/>
              <w:jc w:val="left"/>
              <w:textAlignment w:val="baseline"/>
              <w:rPr>
                <w:rFonts w:hint="default" w:asciiTheme="majorEastAsia" w:hAnsiTheme="majorEastAsia" w:eastAsiaTheme="majorEastAsia"/>
                <w:color w:val="000000"/>
                <w:kern w:val="0"/>
                <w:u w:val="single" w:color="000000"/>
              </w:rPr>
            </w:pPr>
            <w:r>
              <w:rPr>
                <w:rFonts w:hint="eastAsia" w:asciiTheme="majorEastAsia" w:hAnsiTheme="majorEastAsia" w:eastAsiaTheme="majorEastAsia"/>
                <w:color w:val="000000"/>
                <w:kern w:val="0"/>
                <w:u w:val="single" w:color="auto"/>
              </w:rPr>
              <w:t>全体の月平均売上高営業利益率</w:t>
            </w:r>
            <w:r>
              <w:rPr>
                <w:rFonts w:hint="eastAsia" w:asciiTheme="majorEastAsia" w:hAnsiTheme="majorEastAsia" w:eastAsiaTheme="majorEastAsia"/>
                <w:color w:val="000000"/>
                <w:kern w:val="0"/>
                <w:u w:val="single" w:color="000000"/>
              </w:rPr>
              <w:t>　　　　　　　％</w:t>
            </w:r>
          </w:p>
        </w:tc>
      </w:tr>
      <w:tr>
        <w:trPr>
          <w:trHeight w:val="2064" w:hRule="atLeast"/>
        </w:trPr>
        <w:tc>
          <w:tcPr>
            <w:tcW w:w="9639" w:type="dxa"/>
            <w:shd w:val="clear" w:color="auto" w:fill="auto"/>
            <w:vAlign w:val="top"/>
          </w:tcPr>
          <w:p>
            <w:pPr>
              <w:pStyle w:val="0"/>
              <w:spacing w:before="172" w:beforeLines="50" w:beforeAutospacing="0"/>
              <w:ind w:firstLine="5670" w:firstLineChars="2700"/>
              <w:rPr>
                <w:rFonts w:hint="default" w:asciiTheme="majorEastAsia" w:hAnsiTheme="majorEastAsia" w:eastAsiaTheme="majorEastAsia"/>
              </w:rPr>
            </w:pPr>
            <w:r>
              <w:rPr>
                <w:rFonts w:hint="eastAsia" w:asciiTheme="majorEastAsia" w:hAnsiTheme="majorEastAsia" w:eastAsiaTheme="majorEastAsia"/>
              </w:rPr>
              <w:t>指令産支（金セ）第　　　　　号</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ind w:firstLine="4620" w:firstLineChars="2200"/>
              <w:rPr>
                <w:rFonts w:hint="default"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rPr>
              <w:t xml:space="preserve"> </w:t>
            </w:r>
            <w:r>
              <w:rPr>
                <w:rFonts w:hint="eastAsia" w:asciiTheme="majorEastAsia" w:hAnsiTheme="majorEastAsia" w:eastAsiaTheme="majorEastAsia"/>
              </w:rPr>
              <w:t>　　年</w:t>
            </w:r>
            <w:r>
              <w:rPr>
                <w:rFonts w:hint="eastAsia" w:asciiTheme="majorEastAsia" w:hAnsiTheme="majorEastAsia" w:eastAsiaTheme="majorEastAsia"/>
              </w:rPr>
              <w:t xml:space="preserve"> </w:t>
            </w:r>
            <w:r>
              <w:rPr>
                <w:rFonts w:hint="eastAsia" w:asciiTheme="majorEastAsia" w:hAnsiTheme="majorEastAsia" w:eastAsiaTheme="majorEastAsia"/>
              </w:rPr>
              <w:t>　　月</w:t>
            </w:r>
            <w:r>
              <w:rPr>
                <w:rFonts w:hint="eastAsia" w:asciiTheme="majorEastAsia" w:hAnsiTheme="majorEastAsia" w:eastAsiaTheme="majorEastAsia"/>
              </w:rPr>
              <w:t xml:space="preserve"> </w:t>
            </w:r>
            <w:r>
              <w:rPr>
                <w:rFonts w:hint="eastAsia" w:asciiTheme="majorEastAsia" w:hAnsiTheme="majorEastAsia" w:eastAsiaTheme="majorEastAsia"/>
              </w:rPr>
              <w:t>　　日</w:t>
            </w:r>
          </w:p>
          <w:p>
            <w:pPr>
              <w:pStyle w:val="0"/>
              <w:spacing w:before="172" w:beforeLines="50" w:beforeAutospacing="0" w:after="172" w:afterLines="50" w:afterAutospacing="0"/>
              <w:rPr>
                <w:rFonts w:hint="default" w:asciiTheme="majorEastAsia" w:hAnsiTheme="majorEastAsia" w:eastAsiaTheme="majorEastAsia"/>
              </w:rPr>
            </w:pPr>
            <w:r>
              <w:rPr>
                <w:rFonts w:hint="eastAsia" w:asciiTheme="majorEastAsia" w:hAnsiTheme="majorEastAsia" w:eastAsiaTheme="majorEastAsia"/>
              </w:rPr>
              <w:t>　　　　　　　　　　　　　　　　　　　　　　中種子町長　田渕川寿広</w:t>
            </w:r>
            <w:bookmarkStart w:id="0" w:name="_GoBack"/>
            <w:bookmarkEnd w:id="0"/>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rPr>
              <w:t>信用保証協会への申込期間：令和　　年　　月　　日から令和　　年　　月　　日まで</w:t>
            </w:r>
          </w:p>
        </w:tc>
      </w:tr>
    </w:tbl>
    <w:p>
      <w:pPr>
        <w:pStyle w:val="0"/>
        <w:suppressAutoHyphens w:val="1"/>
        <w:wordWrap w:val="0"/>
        <w:spacing w:line="240" w:lineRule="exact"/>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（注）外的要因及び増加している費用を記載します。</w:t>
      </w:r>
    </w:p>
    <w:p>
      <w:pPr>
        <w:pStyle w:val="0"/>
        <w:suppressAutoHyphens w:val="1"/>
        <w:wordWrap w:val="0"/>
        <w:spacing w:line="240" w:lineRule="exact"/>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（留意事項）</w:t>
      </w:r>
    </w:p>
    <w:p>
      <w:pPr>
        <w:pStyle w:val="0"/>
        <w:suppressAutoHyphens w:val="1"/>
        <w:wordWrap w:val="0"/>
        <w:spacing w:line="240" w:lineRule="exact"/>
        <w:ind w:firstLine="190" w:firstLineChars="10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①本認定とは別に、金融機関及び信用保証協会による金融上の審査があります。</w:t>
      </w:r>
    </w:p>
    <w:p>
      <w:pPr>
        <w:pStyle w:val="0"/>
        <w:suppressAutoHyphens w:val="1"/>
        <w:wordWrap w:val="0"/>
        <w:spacing w:line="240" w:lineRule="exact"/>
        <w:ind w:firstLine="190" w:firstLineChars="10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②市長から認定を受けた日から３０日以内に信用保証協会に対して、保証の申込みを行うことが必要です。</w:t>
      </w:r>
    </w:p>
    <w:sectPr>
      <w:footerReference r:id="rId5" w:type="default"/>
      <w:pgSz w:w="11906" w:h="16838"/>
      <w:pgMar w:top="567" w:right="1134" w:bottom="567" w:left="1134" w:header="284" w:footer="284" w:gutter="0"/>
      <w:pgNumType w:fmt="numberInDash"/>
      <w:cols w:space="720"/>
      <w:noEndnote w:val="1"/>
      <w:textDirection w:val="lrTb"/>
      <w:docGrid w:type="lines" w:linePitch="355"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3"/>
  <w:bordersDoNotSurroundHeader/>
  <w:bordersDoNotSurroundFooter/>
  <w:doNotTrackFormatting/>
  <w:defaultTabStop w:val="840"/>
  <w:drawingGridHorizontalSpacing w:val="107"/>
  <w:drawingGridVerticalSpacing w:val="35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1057</TotalTime>
  <Pages>1</Pages>
  <Words>0</Words>
  <Characters>734</Characters>
  <Application>JUST Note</Application>
  <Lines>55</Lines>
  <Paragraphs>32</Paragraphs>
  <Company>METI</Company>
  <CharactersWithSpaces>1013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松原 理子</cp:lastModifiedBy>
  <cp:lastPrinted>2025-09-11T00:48:32Z</cp:lastPrinted>
  <dcterms:created xsi:type="dcterms:W3CDTF">2024-09-30T11:54:00Z</dcterms:created>
  <dcterms:modified xsi:type="dcterms:W3CDTF">2025-09-09T05:41:25Z</dcterms:modified>
  <cp:revision>29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